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r>
        <w:rPr>
          <w:rFonts w:hint="default" w:ascii="宋体" w:hAnsi="宋体" w:eastAsia="仿宋_GB2312" w:cs="Times New Roman"/>
          <w:b/>
          <w:bCs/>
          <w:color w:val="FF0000"/>
          <w:w w:val="80"/>
          <w:kern w:val="0"/>
          <w:sz w:val="32"/>
          <w:szCs w:val="32"/>
          <w:lang w:val="en-US" w:eastAsia="zh-CN" w:bidi="ar-SA"/>
        </w:rPr>
        <w:drawing>
          <wp:anchor distT="0" distB="0" distL="114300" distR="114300" simplePos="0" relativeHeight="251659264" behindDoc="1" locked="0" layoutInCell="1" allowOverlap="1">
            <wp:simplePos x="0" y="0"/>
            <wp:positionH relativeFrom="column">
              <wp:posOffset>-965200</wp:posOffset>
            </wp:positionH>
            <wp:positionV relativeFrom="page">
              <wp:posOffset>30480</wp:posOffset>
            </wp:positionV>
            <wp:extent cx="7614285" cy="4166870"/>
            <wp:effectExtent l="0" t="0" r="0" b="381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clrChange>
                        <a:clrFrom>
                          <a:srgbClr val="FFFFFF"/>
                        </a:clrFrom>
                        <a:clrTo>
                          <a:srgbClr val="FFFFFF">
                            <a:alpha val="0"/>
                          </a:srgbClr>
                        </a:clrTo>
                      </a:clrChange>
                      <a:lum/>
                    </a:blip>
                    <a:srcRect r="-790" b="57196"/>
                    <a:stretch>
                      <a:fillRect/>
                    </a:stretch>
                  </pic:blipFill>
                  <pic:spPr>
                    <a:xfrm>
                      <a:off x="0" y="0"/>
                      <a:ext cx="7614285" cy="4166870"/>
                    </a:xfrm>
                    <a:prstGeom prst="rect">
                      <a:avLst/>
                    </a:prstGeom>
                    <a:noFill/>
                    <a:ln>
                      <a:noFill/>
                    </a:ln>
                  </pic:spPr>
                </pic:pic>
              </a:graphicData>
            </a:graphic>
          </wp:anchor>
        </w:drawing>
      </w: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p>
    <w:p>
      <w:pPr>
        <w:widowControl w:val="0"/>
        <w:wordWrap/>
        <w:adjustRightInd/>
        <w:snapToGrid/>
        <w:spacing w:after="0" w:line="576" w:lineRule="exact"/>
        <w:jc w:val="center"/>
        <w:textAlignment w:val="auto"/>
        <w:rPr>
          <w:rFonts w:hint="default" w:ascii="宋体" w:hAnsi="宋体" w:eastAsia="仿宋_GB2312" w:cs="Times New Roman"/>
          <w:color w:val="000000"/>
          <w:w w:val="100"/>
          <w:sz w:val="32"/>
          <w:szCs w:val="32"/>
        </w:rPr>
      </w:pPr>
      <w:r>
        <w:rPr>
          <w:rFonts w:hint="default" w:ascii="宋体" w:hAnsi="宋体" w:eastAsia="仿宋_GB2312" w:cs="Times New Roman"/>
          <w:color w:val="000000"/>
          <w:w w:val="100"/>
          <w:sz w:val="32"/>
          <w:szCs w:val="32"/>
        </w:rPr>
        <w:t>第</w:t>
      </w:r>
      <w:r>
        <w:rPr>
          <w:rFonts w:hint="eastAsia" w:ascii="宋体" w:hAnsi="宋体" w:eastAsia="仿宋_GB2312" w:cs="Times New Roman"/>
          <w:color w:val="000000"/>
          <w:w w:val="100"/>
          <w:sz w:val="32"/>
          <w:szCs w:val="32"/>
          <w:lang w:val="en-US" w:eastAsia="zh-CN"/>
        </w:rPr>
        <w:t>5</w:t>
      </w:r>
      <w:r>
        <w:rPr>
          <w:rFonts w:hint="default" w:ascii="宋体" w:hAnsi="宋体" w:eastAsia="仿宋_GB2312" w:cs="Times New Roman"/>
          <w:color w:val="000000"/>
          <w:w w:val="100"/>
          <w:sz w:val="32"/>
          <w:szCs w:val="32"/>
        </w:rPr>
        <w:t>期</w:t>
      </w:r>
    </w:p>
    <w:p>
      <w:pPr>
        <w:pStyle w:val="2"/>
        <w:ind w:left="0" w:leftChars="0" w:firstLine="0" w:firstLineChars="0"/>
        <w:rPr>
          <w:rFonts w:hint="eastAsia" w:ascii="方正小标宋简体" w:hAnsi="方正小标宋简体" w:eastAsia="方正小标宋简体" w:cs="方正小标宋简体"/>
          <w:i w:val="0"/>
          <w:iCs w:val="0"/>
          <w:caps w:val="0"/>
          <w:color w:val="000000"/>
          <w:spacing w:val="0"/>
          <w:kern w:val="2"/>
          <w:sz w:val="45"/>
          <w:szCs w:val="45"/>
          <w:shd w:val="clear" w:fill="FFFFFF"/>
          <w:lang w:val="en-US" w:eastAsia="zh-CN" w:bidi="ar-SA"/>
        </w:rPr>
      </w:pPr>
      <w:r>
        <w:rPr>
          <w:rFonts w:hint="default" w:ascii="宋体" w:hAnsi="宋体" w:eastAsia="仿宋_GB2312" w:cs="Times New Roman"/>
          <w:color w:val="000000"/>
          <w:sz w:val="32"/>
          <w:szCs w:val="32"/>
        </w:rPr>
        <w:t xml:space="preserve">山南市统计局   </w:t>
      </w:r>
      <w:r>
        <w:rPr>
          <w:rFonts w:hint="eastAsia" w:ascii="宋体" w:hAnsi="宋体" w:eastAsia="仿宋_GB2312" w:cs="Times New Roman"/>
          <w:color w:val="000000"/>
          <w:sz w:val="32"/>
          <w:szCs w:val="32"/>
          <w:lang w:val="en-US" w:eastAsia="zh-CN"/>
        </w:rPr>
        <w:t xml:space="preserve">                     </w:t>
      </w:r>
      <w:r>
        <w:rPr>
          <w:rFonts w:hint="default" w:ascii="宋体" w:hAnsi="宋体" w:eastAsia="仿宋_GB2312" w:cs="Times New Roman"/>
          <w:color w:val="000000"/>
          <w:sz w:val="32"/>
          <w:szCs w:val="32"/>
        </w:rPr>
        <w:t xml:space="preserve"> 202</w:t>
      </w:r>
      <w:r>
        <w:rPr>
          <w:rFonts w:hint="eastAsia" w:ascii="宋体" w:hAnsi="宋体" w:cs="Times New Roman"/>
          <w:color w:val="000000"/>
          <w:sz w:val="32"/>
          <w:szCs w:val="32"/>
          <w:lang w:val="en-US" w:eastAsia="zh-CN"/>
        </w:rPr>
        <w:t>4</w:t>
      </w:r>
      <w:r>
        <w:rPr>
          <w:rFonts w:hint="default" w:ascii="宋体" w:hAnsi="宋体" w:eastAsia="仿宋_GB2312" w:cs="Times New Roman"/>
          <w:color w:val="000000"/>
          <w:sz w:val="32"/>
          <w:szCs w:val="32"/>
        </w:rPr>
        <w:t>年</w:t>
      </w:r>
      <w:r>
        <w:rPr>
          <w:rFonts w:hint="eastAsia" w:ascii="宋体" w:hAnsi="宋体" w:eastAsia="仿宋_GB2312" w:cs="Times New Roman"/>
          <w:color w:val="000000"/>
          <w:sz w:val="32"/>
          <w:szCs w:val="32"/>
          <w:lang w:val="en-US" w:eastAsia="zh-CN"/>
        </w:rPr>
        <w:t>2</w:t>
      </w:r>
      <w:r>
        <w:rPr>
          <w:rFonts w:hint="default" w:ascii="宋体" w:hAnsi="宋体" w:eastAsia="仿宋_GB2312" w:cs="Times New Roman"/>
          <w:color w:val="000000"/>
          <w:sz w:val="32"/>
          <w:szCs w:val="32"/>
        </w:rPr>
        <w:t>月</w:t>
      </w:r>
      <w:r>
        <w:rPr>
          <w:rFonts w:hint="eastAsia" w:ascii="宋体" w:hAnsi="宋体" w:cs="Times New Roman"/>
          <w:color w:val="000000"/>
          <w:sz w:val="32"/>
          <w:szCs w:val="32"/>
          <w:lang w:val="en-US" w:eastAsia="zh-CN"/>
        </w:rPr>
        <w:t>4</w:t>
      </w:r>
      <w:r>
        <w:rPr>
          <w:rFonts w:hint="default" w:ascii="宋体" w:hAnsi="宋体" w:eastAsia="仿宋_GB2312" w:cs="Times New Roman"/>
          <w:color w:val="000000"/>
          <w:sz w:val="32"/>
          <w:szCs w:val="32"/>
        </w:rPr>
        <w:t>日</w:t>
      </w:r>
    </w:p>
    <w:p>
      <w:pPr>
        <w:pStyle w:val="2"/>
        <w:ind w:left="0" w:leftChars="0" w:firstLine="0" w:firstLineChars="0"/>
        <w:rPr>
          <w:rFonts w:hint="eastAsia" w:ascii="方正小标宋简体" w:hAnsi="方正小标宋简体" w:eastAsia="方正小标宋简体" w:cs="方正小标宋简体"/>
          <w:i w:val="0"/>
          <w:iCs w:val="0"/>
          <w:caps w:val="0"/>
          <w:color w:val="000000"/>
          <w:spacing w:val="0"/>
          <w:kern w:val="2"/>
          <w:sz w:val="45"/>
          <w:szCs w:val="45"/>
          <w:shd w:val="clear" w:fill="FFFFFF"/>
          <w:lang w:val="en-US" w:eastAsia="zh-CN" w:bidi="ar-SA"/>
        </w:rPr>
      </w:pPr>
    </w:p>
    <w:p>
      <w:pPr>
        <w:pStyle w:val="2"/>
        <w:rPr>
          <w:rFonts w:hint="eastAsia" w:ascii="方正小标宋简体" w:hAnsi="方正小标宋简体" w:eastAsia="方正小标宋简体" w:cs="方正小标宋简体"/>
          <w:i w:val="0"/>
          <w:iCs w:val="0"/>
          <w:caps w:val="0"/>
          <w:color w:val="000000"/>
          <w:spacing w:val="0"/>
          <w:kern w:val="2"/>
          <w:sz w:val="45"/>
          <w:szCs w:val="45"/>
          <w:shd w:val="clear" w:fill="FFFFFF"/>
          <w:lang w:val="en-US" w:eastAsia="zh-CN" w:bidi="ar-SA"/>
        </w:rPr>
      </w:pPr>
    </w:p>
    <w:p>
      <w:pPr>
        <w:pStyle w:val="2"/>
        <w:rPr>
          <w:rFonts w:hint="default" w:ascii="方正小标宋简体" w:hAnsi="方正小标宋简体" w:eastAsia="方正小标宋简体" w:cs="方正小标宋简体"/>
          <w:i w:val="0"/>
          <w:iCs w:val="0"/>
          <w:caps w:val="0"/>
          <w:color w:val="000000"/>
          <w:spacing w:val="0"/>
          <w:kern w:val="2"/>
          <w:sz w:val="44"/>
          <w:szCs w:val="44"/>
          <w:shd w:val="clear" w:fill="FFFFFF"/>
          <w:lang w:val="en-US" w:eastAsia="zh-CN" w:bidi="ar-SA"/>
        </w:rPr>
      </w:pPr>
      <w:r>
        <w:rPr>
          <w:rFonts w:hint="eastAsia" w:ascii="方正小标宋简体" w:hAnsi="方正小标宋简体" w:eastAsia="方正小标宋简体" w:cs="方正小标宋简体"/>
          <w:i w:val="0"/>
          <w:iCs w:val="0"/>
          <w:caps w:val="0"/>
          <w:color w:val="000000"/>
          <w:spacing w:val="0"/>
          <w:kern w:val="2"/>
          <w:sz w:val="44"/>
          <w:szCs w:val="44"/>
          <w:shd w:val="clear" w:fill="FFFFFF"/>
          <w:lang w:val="en-US" w:eastAsia="zh-CN" w:bidi="ar-SA"/>
        </w:rPr>
        <w:t>服务业稳步恢复 巩固向好仍需发力</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月规模以上服务业分析</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以来，山南市始终坚持贯彻落实中央、自治区各项决策部署，在经济回稳向好的同时，努力提高服务业对经济增长的积极贡献。随着经济社会全面恢复常态化运行，稳增长、稳就业、稳投资政策效益逐步显现，市场需求持续恢复，全市规模以上服务业发展态势总体稳步恢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一、总体运行情况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（一）总体呈现持续恢复，稳步增长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-12月，山南市规模以上服务业企业共有18家，退库1家，累计实现营业收入32.96亿元，同比增长1.0%，较1-11月提高了0.8个百分点，较去年同期提高了11.1个百分点。其中，净服务业收入32.05亿元，同比增长8.7%，较1-11月提高了1.7个百分点，较去年同期提高了44.3个百分点。</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drawing>
          <wp:anchor distT="0" distB="0" distL="114300" distR="114300" simplePos="0" relativeHeight="251664384" behindDoc="1" locked="0" layoutInCell="1" allowOverlap="1">
            <wp:simplePos x="0" y="0"/>
            <wp:positionH relativeFrom="column">
              <wp:posOffset>401320</wp:posOffset>
            </wp:positionH>
            <wp:positionV relativeFrom="paragraph">
              <wp:posOffset>182880</wp:posOffset>
            </wp:positionV>
            <wp:extent cx="4810125" cy="1725295"/>
            <wp:effectExtent l="4445" t="4445" r="5080" b="22860"/>
            <wp:wrapTight wrapText="bothSides">
              <wp:wrapPolygon>
                <wp:start x="-20" y="-56"/>
                <wp:lineTo x="-20" y="21409"/>
                <wp:lineTo x="21537" y="21409"/>
                <wp:lineTo x="21537" y="-56"/>
                <wp:lineTo x="-20" y="-56"/>
              </wp:wrapPolygon>
            </wp:wrapTight>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（二）行业门类运行态势</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1.交通运输、仓储和邮政业加快增长。</w:t>
      </w:r>
      <w:r>
        <w:rPr>
          <w:rFonts w:hint="eastAsia" w:ascii="仿宋_GB2312" w:hAnsi="仿宋_GB2312" w:eastAsia="仿宋_GB2312" w:cs="仿宋_GB2312"/>
          <w:sz w:val="32"/>
          <w:szCs w:val="32"/>
          <w:lang w:val="en-US" w:eastAsia="zh-CN"/>
        </w:rPr>
        <w:t>1-12月，交通运输、仓储和邮政业累计实现营业收入5.89亿元，同比增长61.7%，较1-11月提高了60.5个百分点，较去年同期提高了139.6个百分点。2023年年初入库1家航空运输业，对交通运输、仓储和邮政业拉动较大，同比增长75.0%，占交通运输、仓储和邮政业比重为99.1%，占规模以上服务业比重为17.0%。</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2.卫生和社会工作行业持续增长。</w:t>
      </w:r>
      <w:r>
        <w:rPr>
          <w:rFonts w:hint="eastAsia" w:ascii="仿宋_GB2312" w:hAnsi="仿宋_GB2312" w:eastAsia="仿宋_GB2312" w:cs="仿宋_GB2312"/>
          <w:sz w:val="32"/>
          <w:szCs w:val="32"/>
          <w:lang w:val="en-US" w:eastAsia="zh-CN"/>
        </w:rPr>
        <w:t>1-12月，卫生和社会工作累计实现营业收入1.61亿元，同比增长40.9%，较1-11月提高了35.7个百分点，较去年同期提高了10.5个百分点。主要是两家医院新增了体检项目。</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3.信息传输、软件和信息技术服务业表现稳健。</w:t>
      </w:r>
      <w:r>
        <w:rPr>
          <w:rFonts w:hint="eastAsia" w:ascii="仿宋_GB2312" w:hAnsi="仿宋_GB2312" w:eastAsia="仿宋_GB2312" w:cs="仿宋_GB2312"/>
          <w:sz w:val="32"/>
          <w:szCs w:val="32"/>
          <w:lang w:val="en-US" w:eastAsia="zh-CN"/>
        </w:rPr>
        <w:t>1-12月，信息传输、软件和信息技术服务业累计实现营业收入6.91亿元，同比增长8.2%，较1-11月提高6.1个百分点，较去年同期减少了6.1个百分点。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4.文化、体育和娱乐业平稳增长。</w:t>
      </w:r>
      <w:r>
        <w:rPr>
          <w:rFonts w:hint="eastAsia" w:ascii="仿宋_GB2312" w:hAnsi="仿宋_GB2312" w:eastAsia="仿宋_GB2312" w:cs="仿宋_GB2312"/>
          <w:sz w:val="32"/>
          <w:szCs w:val="32"/>
          <w:lang w:val="en-US" w:eastAsia="zh-CN"/>
        </w:rPr>
        <w:t>1-12月，文化、体育和娱乐业企业累计实现营业收入0.60亿元，同比增长3.5%，较1-11月收窄2.7个百分点，较去年同期提高了17.0个百分点。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5.房地产行业本月增速呈现回落。</w:t>
      </w:r>
      <w:r>
        <w:rPr>
          <w:rFonts w:hint="eastAsia" w:ascii="仿宋_GB2312" w:hAnsi="仿宋_GB2312" w:eastAsia="仿宋_GB2312" w:cs="仿宋_GB2312"/>
          <w:sz w:val="32"/>
          <w:szCs w:val="32"/>
          <w:lang w:val="en-US" w:eastAsia="zh-CN"/>
        </w:rPr>
        <w:t>1-12月，房地产服务业累计实现营业收入0.37亿元，同比下降5.8%，较1-11月收窄9.0个百分点；较去年同期减少了37.2个百分点。该行业目前在库仅有1家企业，主要是投入较多，受益不明显。</w:t>
      </w:r>
    </w:p>
    <w:p>
      <w:pPr>
        <w:keepNext w:val="0"/>
        <w:keepLines w:val="0"/>
        <w:pageBreakBefore w:val="0"/>
        <w:widowControl w:val="0"/>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6.租赁和商务服务业运行有所分化。</w:t>
      </w:r>
      <w:r>
        <w:rPr>
          <w:rFonts w:hint="eastAsia" w:ascii="仿宋_GB2312" w:hAnsi="仿宋_GB2312" w:eastAsia="仿宋_GB2312" w:cs="仿宋_GB2312"/>
          <w:sz w:val="32"/>
          <w:szCs w:val="32"/>
          <w:lang w:val="en-US" w:eastAsia="zh-CN"/>
        </w:rPr>
        <w:t>1-12月，租赁和商务服务业累计实现营业收入17.59亿元，同比下降14.2%，较1-11月回落18.4个百分点，较去年同期减少了2.2个百分点。商务服务业行业受疫情影响，尚未完全恢复到常态化水平，恢复基础尚不牢固，逐月呈现负增长态势。</w:t>
      </w:r>
    </w:p>
    <w:tbl>
      <w:tblPr>
        <w:tblStyle w:val="7"/>
        <w:tblpPr w:leftFromText="180" w:rightFromText="180" w:vertAnchor="text" w:horzAnchor="page" w:tblpX="2012" w:tblpY="286"/>
        <w:tblOverlap w:val="never"/>
        <w:tblW w:w="8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57"/>
        <w:gridCol w:w="1113"/>
        <w:gridCol w:w="1113"/>
        <w:gridCol w:w="1113"/>
        <w:gridCol w:w="13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42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2023年1-12月规模以上服务业企业分行业门类汇总表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3757" w:type="dxa"/>
            <w:vMerge w:val="restart"/>
            <w:tcBorders>
              <w:top w:val="single" w:color="000000" w:sz="8"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13" w:type="dxa"/>
            <w:vMerge w:val="restart"/>
            <w:tcBorders>
              <w:top w:val="single" w:color="000000" w:sz="8"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单位数</w:t>
            </w:r>
          </w:p>
        </w:tc>
        <w:tc>
          <w:tcPr>
            <w:tcW w:w="3550" w:type="dxa"/>
            <w:gridSpan w:val="3"/>
            <w:tcBorders>
              <w:top w:val="single" w:color="auto" w:sz="4" w:space="0"/>
              <w:left w:val="single" w:color="auto"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营业收入（亿元）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3757" w:type="dxa"/>
            <w:vMerge w:val="continue"/>
            <w:tcBorders>
              <w:top w:val="single" w:color="000000" w:sz="8"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vMerge w:val="continue"/>
            <w:tcBorders>
              <w:top w:val="single" w:color="000000" w:sz="8"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13"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1-12月</w:t>
            </w:r>
          </w:p>
        </w:tc>
        <w:tc>
          <w:tcPr>
            <w:tcW w:w="11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同比增速(%)</w:t>
            </w:r>
          </w:p>
        </w:tc>
        <w:tc>
          <w:tcPr>
            <w:tcW w:w="1324" w:type="dxa"/>
            <w:tcBorders>
              <w:top w:val="single" w:color="000000" w:sz="4" w:space="0"/>
              <w:left w:val="single" w:color="000000"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环比增减（百分点)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3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w:t>
            </w:r>
          </w:p>
        </w:tc>
        <w:tc>
          <w:tcPr>
            <w:tcW w:w="11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32.96</w:t>
            </w:r>
          </w:p>
        </w:tc>
        <w:tc>
          <w:tcPr>
            <w:tcW w:w="111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1.0</w:t>
            </w:r>
          </w:p>
        </w:tc>
        <w:tc>
          <w:tcPr>
            <w:tcW w:w="1324" w:type="dxa"/>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交通运输、仓储和邮政业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61.7</w:t>
            </w:r>
          </w:p>
        </w:tc>
        <w:tc>
          <w:tcPr>
            <w:tcW w:w="13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信息传输、软件和信息技术服务业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6.91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8.2</w:t>
            </w:r>
          </w:p>
        </w:tc>
        <w:tc>
          <w:tcPr>
            <w:tcW w:w="13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0.37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13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租赁和商务服务业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17.59</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-14.2</w:t>
            </w:r>
          </w:p>
        </w:tc>
        <w:tc>
          <w:tcPr>
            <w:tcW w:w="13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375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卫生和社会工作</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1.61</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40.9</w:t>
            </w:r>
          </w:p>
        </w:tc>
        <w:tc>
          <w:tcPr>
            <w:tcW w:w="132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3757" w:type="dxa"/>
            <w:tcBorders>
              <w:top w:val="single" w:color="000000" w:sz="4" w:space="0"/>
              <w:left w:val="nil"/>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文化、体育和娱乐业</w:t>
            </w:r>
          </w:p>
        </w:tc>
        <w:tc>
          <w:tcPr>
            <w:tcW w:w="111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11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0.60</w:t>
            </w:r>
          </w:p>
        </w:tc>
        <w:tc>
          <w:tcPr>
            <w:tcW w:w="1113"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324" w:type="dxa"/>
            <w:tcBorders>
              <w:top w:val="single" w:color="000000" w:sz="4" w:space="0"/>
              <w:left w:val="single" w:color="000000" w:sz="4"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r>
    </w:tbl>
    <w:p>
      <w:pPr>
        <w:keepNext w:val="0"/>
        <w:keepLines w:val="0"/>
        <w:pageBreakBefore w:val="0"/>
        <w:widowControl w:val="0"/>
        <w:kinsoku/>
        <w:wordWrap/>
        <w:overflowPunct/>
        <w:topLinePunct w:val="0"/>
        <w:autoSpaceDE/>
        <w:autoSpaceDN/>
        <w:bidi w:val="0"/>
        <w:adjustRightInd/>
        <w:snapToGrid/>
        <w:spacing w:line="576" w:lineRule="exact"/>
        <w:ind w:firstLine="320" w:firstLineChars="100"/>
        <w:jc w:val="center"/>
        <w:textAlignment w:val="auto"/>
        <w:rPr>
          <w:rFonts w:hint="eastAsia" w:ascii="楷体_GB2312" w:hAnsi="楷体_GB2312" w:eastAsia="楷体_GB2312" w:cs="楷体_GB2312"/>
          <w:sz w:val="32"/>
          <w:szCs w:val="32"/>
          <w:lang w:val="en-US" w:eastAsia="zh-CN"/>
        </w:rPr>
      </w:pPr>
    </w:p>
    <w:p>
      <w:pPr>
        <w:pStyle w:val="2"/>
        <w:jc w:val="center"/>
        <w:rPr>
          <w:rFonts w:hint="eastAsia"/>
          <w:lang w:val="en-US" w:eastAsia="zh-CN"/>
        </w:rPr>
      </w:pPr>
      <w:r>
        <w:drawing>
          <wp:anchor distT="0" distB="0" distL="114300" distR="114300" simplePos="0" relativeHeight="251665408" behindDoc="1" locked="0" layoutInCell="1" allowOverlap="1">
            <wp:simplePos x="0" y="0"/>
            <wp:positionH relativeFrom="column">
              <wp:posOffset>469265</wp:posOffset>
            </wp:positionH>
            <wp:positionV relativeFrom="paragraph">
              <wp:posOffset>26035</wp:posOffset>
            </wp:positionV>
            <wp:extent cx="4676775" cy="2182495"/>
            <wp:effectExtent l="4445" t="4445" r="5080" b="22860"/>
            <wp:wrapTight wrapText="bothSides">
              <wp:wrapPolygon>
                <wp:start x="-21" y="-44"/>
                <wp:lineTo x="-21" y="21449"/>
                <wp:lineTo x="21535" y="21449"/>
                <wp:lineTo x="21535" y="-44"/>
                <wp:lineTo x="-21" y="-44"/>
              </wp:wrapPolygon>
            </wp:wrapTight>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（三）企业问卷基本情况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根据2023年4季度问卷调查结果显示：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1.盈利状况趋于平稳。</w:t>
      </w:r>
      <w:r>
        <w:rPr>
          <w:rFonts w:hint="eastAsia" w:ascii="仿宋_GB2312" w:hAnsi="仿宋_GB2312" w:eastAsia="仿宋_GB2312" w:cs="仿宋_GB2312"/>
          <w:sz w:val="32"/>
          <w:szCs w:val="32"/>
          <w:lang w:val="en-US" w:eastAsia="zh-CN"/>
        </w:rPr>
        <w:t>参与调查的规模以上服务业19家企业中，本季度盈利较上季度增加的企业占比为42%，较上季度减少的企业为47%，较上季度持平的企业为11%。主要受业务量和成本费用的因素影响，导致整体盈利情况较弱。</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2.用工需求保持稳定。</w:t>
      </w:r>
      <w:r>
        <w:rPr>
          <w:rFonts w:hint="eastAsia" w:ascii="仿宋_GB2312" w:hAnsi="仿宋_GB2312" w:eastAsia="仿宋_GB2312" w:cs="仿宋_GB2312"/>
          <w:sz w:val="32"/>
          <w:szCs w:val="32"/>
          <w:lang w:val="en-US" w:eastAsia="zh-CN"/>
        </w:rPr>
        <w:t>规模以上服务业企业用工需求保持稳定。本季度企业用工需求比上季度上升的企业占比为11%；较上季度下降的企业占比为5%；较上季度基本持平的占比为79%。</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3.扶持政策落实有待加强。</w:t>
      </w:r>
      <w:r>
        <w:rPr>
          <w:rFonts w:hint="eastAsia" w:ascii="仿宋_GB2312" w:hAnsi="仿宋_GB2312" w:eastAsia="仿宋_GB2312" w:cs="仿宋_GB2312"/>
          <w:sz w:val="32"/>
          <w:szCs w:val="32"/>
          <w:lang w:val="en-US" w:eastAsia="zh-CN"/>
        </w:rPr>
        <w:t>规模以上服务业企业受益于相关政策的帮助和支持占比为37%；从享受的政策看，减税降费政策的受益面最广（占71%）；其次分别为简政放权（占28.6%）、促就业稳岗位（占28.6%）、财政补贴（占14.3%）。从行业门类看，享受优惠政策的占比较高的是交通运输、仓储和邮政业，在库的3家企业均享受政策；在库8家的租赁和商务服务业有38%的企业享受政策；三大运营商有33%的企业享受政策。</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4.企业预期较为乐观。</w:t>
      </w:r>
      <w:r>
        <w:rPr>
          <w:rFonts w:hint="eastAsia" w:ascii="仿宋_GB2312" w:hAnsi="仿宋_GB2312" w:eastAsia="仿宋_GB2312" w:cs="仿宋_GB2312"/>
          <w:sz w:val="32"/>
          <w:szCs w:val="32"/>
          <w:lang w:val="en-US" w:eastAsia="zh-CN"/>
        </w:rPr>
        <w:t>本季度企业经营状况的综合评价“良好”企业占比为31.6%；“一般”企业占比为68.4%；不存在经营“不佳”企业情况。总体保持平稳运行；从企业预期指标看，有21.2%的企业预计“乐观”，有73.7%的企业预计“一般”，有5.3%的企业预计“不乐观”，大多数企业家对2024年经营状况保持乐观态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二、需要关注的问题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（一）部分行业发展缓慢。</w:t>
      </w:r>
      <w:r>
        <w:rPr>
          <w:rFonts w:hint="eastAsia" w:ascii="仿宋_GB2312" w:hAnsi="仿宋_GB2312" w:eastAsia="仿宋_GB2312" w:cs="仿宋_GB2312"/>
          <w:sz w:val="32"/>
          <w:szCs w:val="32"/>
          <w:lang w:val="en-US" w:eastAsia="zh-CN"/>
        </w:rPr>
        <w:t>商务服务业发展缓慢，年初以来一直处于负增长态势。商务服务业在规模以上服务业中占比较大，在营收中占比为53%，在企业数量中占比为39%。该行业增速一旦有异常波动就会对整个规模以上服务业营收增速造成较大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（二）吸纳就业能力减弱。</w:t>
      </w:r>
      <w:r>
        <w:rPr>
          <w:rFonts w:hint="eastAsia" w:ascii="仿宋_GB2312" w:hAnsi="仿宋_GB2312" w:eastAsia="仿宋_GB2312" w:cs="仿宋_GB2312"/>
          <w:sz w:val="32"/>
          <w:szCs w:val="32"/>
          <w:lang w:val="en-US" w:eastAsia="zh-CN"/>
        </w:rPr>
        <w:t>山南市规模以上服务业期末用工人数6523人，同比增长1.2%，较上月减少10.9个百分点。其中，交通运输仓储和邮政，信息传输软件和信息技术服务业同比分别下降24.8%和11.2%。</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（三）产业结构有待优化。</w:t>
      </w:r>
      <w:r>
        <w:rPr>
          <w:rFonts w:hint="eastAsia" w:ascii="仿宋_GB2312" w:hAnsi="仿宋_GB2312" w:eastAsia="仿宋_GB2312" w:cs="仿宋_GB2312"/>
          <w:sz w:val="32"/>
          <w:szCs w:val="32"/>
          <w:lang w:val="en-US" w:eastAsia="zh-CN"/>
        </w:rPr>
        <w:t>山南市规模以上服务业企业共有18家，其中年营业收入超亿元的企业6家、营业收入超过10亿的仅有1家，上亿企业主要集中在商务服务业中（17亿元），其次是三大电信运营商（7亿元），第三是航空运输业（6亿元），第四是卫生和文化类各（1亿元）。其他行业均未上亿。显而易见，山南市服务业以小微企业为主，能够充当行业标杆、带动行业升级的大中型企业几乎没有，服务业行业内部集聚度低、对外影响力仍较弱，对经济的带动作用仍然有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三、下一步对策建议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（一）落实相关政策，助力企业降本增效。</w:t>
      </w:r>
      <w:r>
        <w:rPr>
          <w:rFonts w:hint="eastAsia" w:ascii="仿宋_GB2312" w:hAnsi="仿宋_GB2312" w:eastAsia="仿宋_GB2312" w:cs="仿宋_GB2312"/>
          <w:sz w:val="32"/>
          <w:szCs w:val="32"/>
          <w:lang w:val="en-US" w:eastAsia="zh-CN"/>
        </w:rPr>
        <w:t>持续落实中央、自治区、山南市促进服务业健康发展相关政策，形成多方政策合力，切实减轻企业压力。加强对企业的走访调研，及时了解企业生产经营中遇到的困难，突出问题导向，创新工作思路和方法，从税费负担、融资成本、人工成本、能源成本等方面研究降低企业成本的政策措施，切实降低企业成本费用，保障各项减税降费及产业扶持政策落实到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（二）强抓升规入库，优化行业结构。</w:t>
      </w:r>
      <w:r>
        <w:rPr>
          <w:rFonts w:hint="eastAsia" w:ascii="仿宋_GB2312" w:hAnsi="仿宋_GB2312" w:eastAsia="仿宋_GB2312" w:cs="仿宋_GB2312"/>
          <w:sz w:val="32"/>
          <w:szCs w:val="32"/>
          <w:lang w:val="en-US" w:eastAsia="zh-CN"/>
        </w:rPr>
        <w:t>针对我市规模以上服务业行业分布不均、数据代表性差等问题，应加大招商引资力度，增强山南市服务业发展动能。同时，强化各级行业主管部门密切配合，加强沟通协调，加大入库纳统工作力度，按照“在库企业抓提质、达规企业抓入库、近规企业抓培育、新建企业抓跟踪”的工作思路，开展“应统尽统、统必合规”精准指导，确保企业申报入库的及时性、合理性，避免漏统漏报，全面客观反映经济发展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（三）拓展招工渠道，降低企业用工成本。</w:t>
      </w:r>
      <w:r>
        <w:rPr>
          <w:rFonts w:hint="eastAsia" w:ascii="仿宋_GB2312" w:hAnsi="仿宋_GB2312" w:eastAsia="仿宋_GB2312" w:cs="仿宋_GB2312"/>
          <w:sz w:val="32"/>
          <w:szCs w:val="32"/>
          <w:lang w:val="en-US" w:eastAsia="zh-CN"/>
        </w:rPr>
        <w:t>抓好稳就业工作，一方面应积极搭建企业和就业人员供需平台，促进人力资源有序流动，不断拓展校企合作平台、市际劳务合作平台等，畅通对接渠道，深入挖掘各类市场主体的用工需求。另一方面应梳理各行业企用工需求和困难，针对人员密集型企业，政府可以有针对性的出台留岗补贴政策，对就业增加企业实行税费减免等政策激励，持续落实稳岗补贴政策，进一步减轻企业用工成本。</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snapToGrid/>
        <w:spacing w:line="576" w:lineRule="exact"/>
        <w:jc w:val="both"/>
        <w:rPr>
          <w:rFonts w:hint="eastAsia" w:ascii="方正小标宋简体" w:hAnsi="方正小标宋简体" w:eastAsia="方正小标宋简体" w:cs="方正小标宋简体"/>
          <w:sz w:val="44"/>
          <w:szCs w:val="4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default" w:ascii="Times New Roman" w:hAnsi="Times New Roman" w:eastAsia="仿宋_GB2312" w:cs="Times New Roman"/>
          <w:w w:val="85"/>
          <w:sz w:val="32"/>
          <w:szCs w:val="32"/>
          <w:lang w:val="en-US" w:eastAsia="zh-CN"/>
        </w:rPr>
      </w:pPr>
      <w:r>
        <w:rPr>
          <w:rFonts w:hint="default" w:ascii="Times New Roman" w:hAnsi="Times New Roman" w:eastAsia="仿宋_GB2312" w:cs="Times New Roman"/>
          <w:w w:val="100"/>
          <w:sz w:val="32"/>
          <w:szCs w:val="32"/>
          <w:lang w:val="zh-CN" w:eastAsia="zh-CN" w:bidi="ar-SA"/>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24130</wp:posOffset>
                </wp:positionV>
                <wp:extent cx="5756275" cy="5715"/>
                <wp:effectExtent l="0" t="0" r="0" b="0"/>
                <wp:wrapNone/>
                <wp:docPr id="9" name="Line 2"/>
                <wp:cNvGraphicFramePr/>
                <a:graphic xmlns:a="http://schemas.openxmlformats.org/drawingml/2006/main">
                  <a:graphicData uri="http://schemas.microsoft.com/office/word/2010/wordprocessingShape">
                    <wps:wsp>
                      <wps:cNvCnPr/>
                      <wps:spPr>
                        <a:xfrm flipV="1">
                          <a:off x="0" y="0"/>
                          <a:ext cx="5756275" cy="571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1.7pt;margin-top:1.9pt;height:0.45pt;width:453.25pt;z-index:251660288;mso-width-relative:page;mso-height-relative:page;" filled="f" stroked="t" coordsize="21600,21600" o:gfxdata="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4cRlrVAAAABQEA&#10;AA8AAAAAAAAAAQAgAAAAIgAAAGRycy9kb3ducmV2LnhtbFBLAQIUABQAAAAIAIdO4kAJuZRI5AEA&#10;AOcDAAAOAAAAAAAAAAEAIAAAACQ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w w:val="85"/>
          <w:sz w:val="32"/>
          <w:szCs w:val="32"/>
        </w:rPr>
        <w:t>报</w:t>
      </w:r>
      <w:r>
        <w:rPr>
          <w:rFonts w:hint="default" w:ascii="Times New Roman" w:hAnsi="Times New Roman" w:eastAsia="仿宋_GB2312" w:cs="Times New Roman"/>
          <w:w w:val="85"/>
          <w:sz w:val="32"/>
          <w:szCs w:val="32"/>
          <w:lang w:val="en-US" w:eastAsia="zh-CN"/>
        </w:rPr>
        <w:t>:</w:t>
      </w:r>
      <w:r>
        <w:rPr>
          <w:rFonts w:hint="default" w:ascii="Times New Roman" w:hAnsi="Times New Roman" w:eastAsia="仿宋_GB2312" w:cs="Times New Roman"/>
          <w:w w:val="85"/>
          <w:kern w:val="0"/>
          <w:sz w:val="32"/>
          <w:szCs w:val="32"/>
        </w:rPr>
        <w:t>自治区人大常委会副主任、市委书记许成仓</w:t>
      </w:r>
      <w:r>
        <w:rPr>
          <w:rFonts w:hint="default" w:ascii="Times New Roman" w:hAnsi="Times New Roman" w:eastAsia="仿宋_GB2312" w:cs="Times New Roman"/>
          <w:w w:val="85"/>
          <w:sz w:val="32"/>
          <w:szCs w:val="32"/>
        </w:rPr>
        <w:t>，</w:t>
      </w:r>
      <w:r>
        <w:rPr>
          <w:rFonts w:hint="default" w:ascii="Times New Roman" w:hAnsi="Times New Roman" w:eastAsia="仿宋_GB2312" w:cs="Times New Roman"/>
          <w:w w:val="85"/>
          <w:sz w:val="32"/>
          <w:szCs w:val="32"/>
          <w:lang w:val="en-US" w:eastAsia="zh-CN"/>
        </w:rPr>
        <w:t>市委常委、常务</w:t>
      </w:r>
      <w:r>
        <w:rPr>
          <w:rFonts w:hint="default" w:ascii="Times New Roman" w:hAnsi="Times New Roman" w:eastAsia="仿宋_GB2312" w:cs="Times New Roman"/>
          <w:w w:val="85"/>
          <w:sz w:val="32"/>
          <w:szCs w:val="32"/>
        </w:rPr>
        <w:t>副市长牟</w:t>
      </w:r>
      <w:r>
        <w:rPr>
          <w:rFonts w:hint="default" w:ascii="Times New Roman" w:hAnsi="Times New Roman" w:eastAsia="仿宋_GB2312" w:cs="Times New Roman"/>
          <w:w w:val="85"/>
          <w:sz w:val="32"/>
          <w:szCs w:val="32"/>
          <w:lang w:val="en-US" w:eastAsia="zh-CN"/>
        </w:rPr>
        <w:t>永文。</w:t>
      </w:r>
    </w:p>
    <w:p>
      <w:pPr>
        <w:pStyle w:val="3"/>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default" w:ascii="Times New Roman" w:hAnsi="Times New Roman" w:eastAsia="仿宋_GB2312" w:cs="Times New Roman"/>
          <w:w w:val="90"/>
          <w:sz w:val="32"/>
          <w:szCs w:val="32"/>
          <w:lang w:eastAsia="zh-CN"/>
        </w:rPr>
      </w:pPr>
      <w:r>
        <w:rPr>
          <w:rFonts w:hint="default" w:ascii="Times New Roman" w:hAnsi="Times New Roman" w:eastAsia="仿宋_GB2312" w:cs="Times New Roman"/>
          <w:w w:val="100"/>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328930</wp:posOffset>
                </wp:positionV>
                <wp:extent cx="5725160" cy="5080"/>
                <wp:effectExtent l="0" t="0" r="0" b="0"/>
                <wp:wrapNone/>
                <wp:docPr id="10" name="直接连接符 3"/>
                <wp:cNvGraphicFramePr/>
                <a:graphic xmlns:a="http://schemas.openxmlformats.org/drawingml/2006/main">
                  <a:graphicData uri="http://schemas.microsoft.com/office/word/2010/wordprocessingShape">
                    <wps:wsp>
                      <wps:cNvCnPr/>
                      <wps:spPr>
                        <a:xfrm>
                          <a:off x="0" y="0"/>
                          <a:ext cx="572516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3" o:spid="_x0000_s1026" o:spt="20" style="position:absolute;left:0pt;margin-left:1.85pt;margin-top:25.9pt;height:0.4pt;width:450.8pt;z-index:251662336;mso-width-relative:page;mso-height-relative:page;" filled="f" stroked="t" coordsize="21600,21600" o:gfxdata="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IzIK1gAAAAcBAAAPAAAAAAAAAAEAIAAAACIAAABkcnMvZG93bnJldi54bWxQ&#10;SwECFAAUAAAACACHTuJA64GN+vkBAADo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w w:val="90"/>
          <w:sz w:val="32"/>
          <w:szCs w:val="32"/>
        </w:rPr>
        <w:t>送</w:t>
      </w:r>
      <w:r>
        <w:rPr>
          <w:rFonts w:hint="default" w:ascii="Times New Roman" w:hAnsi="Times New Roman" w:eastAsia="仿宋_GB2312" w:cs="Times New Roman"/>
          <w:w w:val="90"/>
          <w:sz w:val="32"/>
          <w:szCs w:val="32"/>
          <w:lang w:val="en-US" w:eastAsia="zh-CN"/>
        </w:rPr>
        <w:t>:</w:t>
      </w:r>
      <w:r>
        <w:rPr>
          <w:rFonts w:hint="default" w:ascii="Times New Roman" w:hAnsi="Times New Roman" w:eastAsia="仿宋_GB2312" w:cs="Times New Roman"/>
          <w:w w:val="90"/>
          <w:sz w:val="32"/>
          <w:szCs w:val="32"/>
        </w:rPr>
        <w:t>市委办信息科、市政府办信息科，各县（区）统计局</w:t>
      </w:r>
      <w:r>
        <w:rPr>
          <w:rFonts w:hint="default" w:ascii="Times New Roman" w:hAnsi="Times New Roman" w:eastAsia="仿宋_GB2312" w:cs="Times New Roman"/>
          <w:w w:val="9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pacing w:val="-20"/>
          <w:sz w:val="32"/>
          <w:szCs w:val="32"/>
          <w:lang w:val="en-US" w:eastAsia="zh-CN"/>
        </w:rPr>
      </w:pPr>
      <w:r>
        <w:rPr>
          <w:rFonts w:hint="default" w:ascii="Times New Roman" w:hAnsi="Times New Roman" w:eastAsia="仿宋_GB2312" w:cs="Times New Roman"/>
          <w:sz w:val="32"/>
          <w:szCs w:val="32"/>
          <w:lang w:val="zh-CN" w:eastAsia="zh-CN" w:bidi="ar-SA"/>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310515</wp:posOffset>
                </wp:positionV>
                <wp:extent cx="5748655" cy="6985"/>
                <wp:effectExtent l="0" t="0" r="0" b="0"/>
                <wp:wrapNone/>
                <wp:docPr id="14" name="Line 4"/>
                <wp:cNvGraphicFramePr/>
                <a:graphic xmlns:a="http://schemas.openxmlformats.org/drawingml/2006/main">
                  <a:graphicData uri="http://schemas.microsoft.com/office/word/2010/wordprocessingShape">
                    <wps:wsp>
                      <wps:cNvCnPr/>
                      <wps:spPr>
                        <a:xfrm>
                          <a:off x="0" y="0"/>
                          <a:ext cx="5748655"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4pt;margin-top:24.45pt;height:0.55pt;width:452.65pt;z-index:251661312;mso-width-relative:page;mso-height-relative:page;" filled="f" stroked="t" coordsize="21600,21600" o:gfxdata="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fsxt9YAAAAGAQAADwAA&#10;AAAAAAABACAAAAAiAAAAZHJzL2Rvd25yZXYueG1sUEsBAhQAFAAAAAgAh07iQKGBL9bfAQAA3gMA&#10;AA4AAAAAAAAAAQAgAAAAJQEAAGRycy9lMm9Eb2MueG1sUEsFBgAAAAAGAAYAWQEAAHYFAAAAAA==&#10;">
                <v:fill on="f" focussize="0,0"/>
                <v:stroke weight="1pt" color="#000000" joinstyle="round"/>
                <v:imagedata o:title=""/>
                <o:lock v:ext="edit" aspectratio="f"/>
              </v:line>
            </w:pict>
          </mc:Fallback>
        </mc:AlternateContent>
      </w:r>
      <w:r>
        <w:rPr>
          <w:rFonts w:hint="eastAsia" w:ascii="Times New Roman" w:cs="Times New Roman"/>
          <w:w w:val="90"/>
          <w:sz w:val="32"/>
          <w:szCs w:val="32"/>
          <w:lang w:val="en-US" w:eastAsia="zh-CN"/>
        </w:rPr>
        <w:t>拟稿人：白玛德吉                                签发人：张维春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sectPr>
      <w:footerReference r:id="rId3" w:type="default"/>
      <w:footerReference r:id="rId4" w:type="even"/>
      <w:pgSz w:w="11906" w:h="16838"/>
      <w:pgMar w:top="2098" w:right="1474" w:bottom="1984" w:left="1587" w:header="0" w:footer="1304" w:gutter="0"/>
      <w:pgBorders>
        <w:top w:val="none" w:sz="0" w:space="0"/>
        <w:left w:val="none" w:sz="0" w:space="0"/>
        <w:bottom w:val="none" w:sz="0" w:space="0"/>
        <w:right w:val="none" w:sz="0" w:space="0"/>
      </w:pgBorders>
      <w:pgNumType w:fmt="numberInDash"/>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mJkZDY4ODg2MzY5Mjk3Zjg3Y2MxMmUzYjQ4NWUifQ=="/>
  </w:docVars>
  <w:rsids>
    <w:rsidRoot w:val="68D14C6A"/>
    <w:rsid w:val="04CA423F"/>
    <w:rsid w:val="05817023"/>
    <w:rsid w:val="08601880"/>
    <w:rsid w:val="104A0747"/>
    <w:rsid w:val="148C2EBC"/>
    <w:rsid w:val="16DC0FA3"/>
    <w:rsid w:val="1AAF3978"/>
    <w:rsid w:val="204E41CF"/>
    <w:rsid w:val="21DC08FC"/>
    <w:rsid w:val="22EC5025"/>
    <w:rsid w:val="28D64DCE"/>
    <w:rsid w:val="2A236009"/>
    <w:rsid w:val="2B406761"/>
    <w:rsid w:val="2E934945"/>
    <w:rsid w:val="2F680AB8"/>
    <w:rsid w:val="3190426C"/>
    <w:rsid w:val="3ABE6C98"/>
    <w:rsid w:val="3B080A83"/>
    <w:rsid w:val="3CB72C7A"/>
    <w:rsid w:val="43051044"/>
    <w:rsid w:val="49707BD3"/>
    <w:rsid w:val="56BB2950"/>
    <w:rsid w:val="5B05505C"/>
    <w:rsid w:val="5E2C6A3D"/>
    <w:rsid w:val="5FFD13B3"/>
    <w:rsid w:val="68D14C6A"/>
    <w:rsid w:val="6D535C1F"/>
    <w:rsid w:val="6F346F14"/>
    <w:rsid w:val="701B04CF"/>
    <w:rsid w:val="71A11B29"/>
    <w:rsid w:val="7696181A"/>
    <w:rsid w:val="78BE4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rPr>
  </w:style>
  <w:style w:type="paragraph" w:styleId="3">
    <w:name w:val="Body Text Indent"/>
    <w:basedOn w:val="1"/>
    <w:qFormat/>
    <w:uiPriority w:val="0"/>
    <w:pPr>
      <w:spacing w:line="540" w:lineRule="exact"/>
      <w:ind w:firstLine="600"/>
    </w:pPr>
    <w:rPr>
      <w:rFonts w:ascii="仿宋_GB2312" w:hAnsi="Times New Roman" w:eastAsia="仿宋_GB2312" w:cs="Times New Roman"/>
      <w:sz w:val="30"/>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SA"/>
    </w:rPr>
  </w:style>
  <w:style w:type="character" w:styleId="9">
    <w:name w:val="FollowedHyperlink"/>
    <w:basedOn w:val="8"/>
    <w:qFormat/>
    <w:uiPriority w:val="0"/>
    <w:rPr>
      <w:rFonts w:hint="eastAsia" w:ascii="宋体" w:hAnsi="宋体" w:eastAsia="宋体" w:cs="宋体"/>
      <w:color w:val="800080"/>
      <w:sz w:val="18"/>
      <w:szCs w:val="18"/>
      <w:u w:val="none"/>
    </w:rPr>
  </w:style>
  <w:style w:type="character" w:styleId="10">
    <w:name w:val="Hyperlink"/>
    <w:basedOn w:val="8"/>
    <w:qFormat/>
    <w:uiPriority w:val="0"/>
    <w:rPr>
      <w:rFonts w:hint="eastAsia" w:ascii="宋体" w:hAnsi="宋体" w:eastAsia="宋体" w:cs="宋体"/>
      <w:color w:val="0000FF"/>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1185;&#23460;&#8212;&#19994;&#21153;&#36164;&#26009;\&#12298;%20&#26381;%20&#21153;%20&#19994;%20&#12299;\2023&#24180;-&#35268;&#19978;&#26381;&#21153;&#19994;&#27719;&#24635;\&#35268;&#19978;&#21450;&#22522;&#23618;&#27719;&#24635;\1-12&#26376;&#35268;&#19978;&#26381;&#21153;&#19994;&#27719;&#24635;.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1185;&#23460;&#8212;&#19994;&#21153;&#36164;&#26009;\&#12298;%20&#26381;%20&#21153;%20&#19994;%20&#12299;\2023&#24180;-&#35268;&#19978;&#26381;&#21153;&#19994;&#27719;&#24635;\&#35268;&#19978;&#21450;&#22522;&#23618;&#27719;&#24635;\1-12&#26376;&#35268;&#19978;&#26381;&#21153;&#19994;&#27719;&#2463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2023</a:t>
            </a:r>
            <a:r>
              <a:rPr altLang="en-US">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年</a:t>
            </a:r>
            <a:r>
              <a:rPr lang="en-US" altLang="zh-CN">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1-12</a:t>
            </a:r>
            <a:r>
              <a:rPr altLang="en-US">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月</a:t>
            </a:r>
            <a:r>
              <a:rPr>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营业收入增速趋势图</a:t>
            </a:r>
            <a:endParaRPr>
              <a:solidFill>
                <a:schemeClr val="tx1"/>
              </a:solidFill>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21971305871871"/>
          <c:y val="0.0277777777777778"/>
        </c:manualLayout>
      </c:layout>
      <c:overlay val="0"/>
      <c:spPr>
        <a:noFill/>
        <a:ln>
          <a:noFill/>
        </a:ln>
        <a:effectLst/>
      </c:spPr>
    </c:title>
    <c:autoTitleDeleted val="0"/>
    <c:plotArea>
      <c:layout/>
      <c:lineChart>
        <c:grouping val="standard"/>
        <c:varyColors val="0"/>
        <c:ser>
          <c:idx val="0"/>
          <c:order val="0"/>
          <c:tx>
            <c:strRef>
              <c:f>'[1-12月规上服务业汇总.xls]逐月增速表'!$A$15</c:f>
              <c:strCache>
                <c:ptCount val="1"/>
                <c:pt idx="0">
                  <c:v>营业收入（%）</c:v>
                </c:pt>
              </c:strCache>
            </c:strRef>
          </c:tx>
          <c:spPr>
            <a:ln w="28575" cap="rnd">
              <a:solidFill>
                <a:schemeClr val="accent2"/>
              </a:solidFill>
              <a:round/>
            </a:ln>
            <a:effectLst/>
          </c:spPr>
          <c:marker>
            <c:symbol val="none"/>
          </c:marker>
          <c:dLbls>
            <c:spPr>
              <a:solidFill>
                <a:schemeClr val="accent6"/>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'[1-12月规上服务业汇总.xls]逐月增速表'!$B$14:$L$14</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'[1-12月规上服务业汇总.xls]逐月增速表'!$B$15:$L$15</c:f>
              <c:numCache>
                <c:formatCode>0.0</c:formatCode>
                <c:ptCount val="11"/>
                <c:pt idx="0">
                  <c:v>-22.09</c:v>
                </c:pt>
                <c:pt idx="1">
                  <c:v>-21.1</c:v>
                </c:pt>
                <c:pt idx="2">
                  <c:v>-14.05</c:v>
                </c:pt>
                <c:pt idx="3">
                  <c:v>-7.42</c:v>
                </c:pt>
                <c:pt idx="4">
                  <c:v>-1.51</c:v>
                </c:pt>
                <c:pt idx="5">
                  <c:v>1.05</c:v>
                </c:pt>
                <c:pt idx="6">
                  <c:v>1.69</c:v>
                </c:pt>
                <c:pt idx="7">
                  <c:v>2.23</c:v>
                </c:pt>
                <c:pt idx="8">
                  <c:v>0.77</c:v>
                </c:pt>
                <c:pt idx="9">
                  <c:v>0.19</c:v>
                </c:pt>
                <c:pt idx="10">
                  <c:v>0.99</c:v>
                </c:pt>
              </c:numCache>
            </c:numRef>
          </c:val>
          <c:smooth val="0"/>
        </c:ser>
        <c:dLbls>
          <c:showLegendKey val="0"/>
          <c:showVal val="1"/>
          <c:showCatName val="0"/>
          <c:showSerName val="0"/>
          <c:showPercent val="0"/>
          <c:showBubbleSize val="0"/>
        </c:dLbls>
        <c:marker val="0"/>
        <c:smooth val="0"/>
        <c:axId val="289858651"/>
        <c:axId val="295226901"/>
      </c:lineChart>
      <c:catAx>
        <c:axId val="2898586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crossAx val="295226901"/>
        <c:crosses val="autoZero"/>
        <c:auto val="1"/>
        <c:lblAlgn val="ctr"/>
        <c:lblOffset val="100"/>
        <c:noMultiLvlLbl val="0"/>
      </c:catAx>
      <c:valAx>
        <c:axId val="29522690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crossAx val="289858651"/>
        <c:crosses val="autoZero"/>
        <c:crossBetween val="between"/>
      </c:valAx>
      <c:spPr>
        <a:noFill/>
        <a:ln>
          <a:noFill/>
        </a:ln>
        <a:effectLst/>
      </c:spPr>
    </c:plotArea>
    <c:plotVisOnly val="1"/>
    <c:dispBlanksAs val="gap"/>
    <c:showDLblsOverMax val="0"/>
  </c:chart>
  <c:spPr>
    <a:pattFill prst="pct5">
      <a:fgClr>
        <a:srgbClr val="00B050"/>
      </a:fgClr>
      <a:bgClr>
        <a:schemeClr val="bg1"/>
      </a:bgClr>
    </a:pattFill>
    <a:ln w="9525" cap="flat" cmpd="sng" algn="ctr">
      <a:solidFill>
        <a:schemeClr val="tx1">
          <a:lumMod val="15000"/>
          <a:lumOff val="85000"/>
        </a:schemeClr>
      </a:solidFill>
      <a:round/>
    </a:ln>
    <a:effectLst/>
  </c:spPr>
  <c:txPr>
    <a:bodyPr/>
    <a:lstStyle/>
    <a:p>
      <a:pPr>
        <a:defRPr lang="zh-CN">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lang="en-US" altLang="zh-CN">
                <a:latin typeface="黑体" panose="02010609060101010101" charset="-122"/>
                <a:ea typeface="黑体" panose="02010609060101010101" charset="-122"/>
                <a:cs typeface="黑体" panose="02010609060101010101" charset="-122"/>
                <a:sym typeface="黑体" panose="02010609060101010101" charset="-122"/>
              </a:rPr>
              <a:t>2</a:t>
            </a:r>
            <a:r>
              <a:rPr lang="en-US" altLang="zh-CN" sz="1200" b="1">
                <a:latin typeface="黑体" panose="02010609060101010101" charset="-122"/>
                <a:ea typeface="黑体" panose="02010609060101010101" charset="-122"/>
                <a:cs typeface="黑体" panose="02010609060101010101" charset="-122"/>
                <a:sym typeface="黑体" panose="02010609060101010101" charset="-122"/>
              </a:rPr>
              <a:t>023</a:t>
            </a:r>
            <a:r>
              <a:rPr altLang="en-US" sz="1200" b="1">
                <a:latin typeface="黑体" panose="02010609060101010101" charset="-122"/>
                <a:ea typeface="黑体" panose="02010609060101010101" charset="-122"/>
                <a:cs typeface="黑体" panose="02010609060101010101" charset="-122"/>
                <a:sym typeface="黑体" panose="02010609060101010101" charset="-122"/>
              </a:rPr>
              <a:t>年</a:t>
            </a:r>
            <a:r>
              <a:rPr lang="en-US" altLang="zh-CN" sz="1200" b="1">
                <a:latin typeface="黑体" panose="02010609060101010101" charset="-122"/>
                <a:ea typeface="黑体" panose="02010609060101010101" charset="-122"/>
                <a:cs typeface="黑体" panose="02010609060101010101" charset="-122"/>
                <a:sym typeface="黑体" panose="02010609060101010101" charset="-122"/>
              </a:rPr>
              <a:t>1-12</a:t>
            </a:r>
            <a:r>
              <a:rPr altLang="en-US" sz="1200" b="1">
                <a:latin typeface="黑体" panose="02010609060101010101" charset="-122"/>
                <a:ea typeface="黑体" panose="02010609060101010101" charset="-122"/>
                <a:cs typeface="黑体" panose="02010609060101010101" charset="-122"/>
                <a:sym typeface="黑体" panose="02010609060101010101" charset="-122"/>
              </a:rPr>
              <a:t>月各行业门类</a:t>
            </a:r>
            <a:r>
              <a:rPr sz="1200" b="1">
                <a:latin typeface="黑体" panose="02010609060101010101" charset="-122"/>
                <a:ea typeface="黑体" panose="02010609060101010101" charset="-122"/>
                <a:cs typeface="黑体" panose="02010609060101010101" charset="-122"/>
                <a:sym typeface="黑体" panose="02010609060101010101" charset="-122"/>
              </a:rPr>
              <a:t>营业收入情况图（亿元）</a:t>
            </a:r>
            <a:endParaRPr sz="1200" b="1">
              <a:latin typeface="黑体" panose="02010609060101010101" charset="-122"/>
              <a:ea typeface="黑体" panose="02010609060101010101" charset="-122"/>
              <a:cs typeface="黑体" panose="02010609060101010101" charset="-122"/>
              <a:sym typeface="黑体" panose="02010609060101010101" charset="-122"/>
            </a:endParaRPr>
          </a:p>
        </c:rich>
      </c:tx>
      <c:layout>
        <c:manualLayout>
          <c:xMode val="edge"/>
          <c:yMode val="edge"/>
          <c:x val="0.15112016293279"/>
          <c:y val="0.0174570846668606"/>
        </c:manualLayout>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0849755415793152"/>
          <c:y val="0.17156862745098"/>
          <c:w val="0.80041928721174"/>
          <c:h val="0.551470588235294"/>
        </c:manualLayout>
      </c:layout>
      <c:pie3DChart>
        <c:varyColors val="1"/>
        <c:ser>
          <c:idx val="0"/>
          <c:order val="0"/>
          <c:tx>
            <c:strRef>
              <c:f>'[1-12月规上服务业汇总.xls]Sheet5'!$B$2</c:f>
              <c:strCache>
                <c:ptCount val="1"/>
                <c:pt idx="0">
                  <c:v>营业收入（亿元）</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Pt>
            <c:idx val="5"/>
            <c:bubble3D val="0"/>
            <c:spPr>
              <a:solidFill>
                <a:schemeClr val="accent6"/>
              </a:solidFill>
              <a:ln w="25400">
                <a:solidFill>
                  <a:schemeClr val="lt1"/>
                </a:solidFill>
              </a:ln>
              <a:effectLst/>
              <a:scene3d>
                <a:camera prst="orthographicFront"/>
                <a:lightRig rig="threePt" dir="t"/>
              </a:scene3d>
              <a:sp3d contourW="25400"/>
            </c:spPr>
          </c:dPt>
          <c:dLbls>
            <c:dLbl>
              <c:idx val="0"/>
              <c:layout>
                <c:manualLayout>
                  <c:x val="0.0349330021908984"/>
                  <c:y val="0.0015575423902253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6064062367151"/>
                  <c:y val="-0.1904938213363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88798370672098"/>
                  <c:y val="-0.056735525167297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77237337303818"/>
                  <c:y val="-0.1974474317436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427698574338086"/>
                  <c:y val="0.008728542333430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4989816700611"/>
                  <c:y val="0"/>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solidFill>
                <a:schemeClr val="accent1">
                  <a:lumMod val="40000"/>
                  <a:lumOff val="60000"/>
                </a:schemeClr>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'[1-12月规上服务业汇总.xls]Sheet5'!$A$3:$A$8</c:f>
              <c:strCache>
                <c:ptCount val="6"/>
                <c:pt idx="0">
                  <c:v>交通运输、仓储和邮政业</c:v>
                </c:pt>
                <c:pt idx="1">
                  <c:v>信息传输、软件和信息技术服务业</c:v>
                </c:pt>
                <c:pt idx="2">
                  <c:v>房地产业</c:v>
                </c:pt>
                <c:pt idx="3">
                  <c:v>租赁和商务服务业</c:v>
                </c:pt>
                <c:pt idx="4">
                  <c:v>卫生和社会工作</c:v>
                </c:pt>
                <c:pt idx="5">
                  <c:v>文化、体育和娱乐业</c:v>
                </c:pt>
              </c:strCache>
            </c:strRef>
          </c:cat>
          <c:val>
            <c:numRef>
              <c:f>'[1-12月规上服务业汇总.xls]Sheet5'!$B$3:$B$8</c:f>
              <c:numCache>
                <c:formatCode>0.00</c:formatCode>
                <c:ptCount val="6"/>
                <c:pt idx="0">
                  <c:v>5.88512</c:v>
                </c:pt>
                <c:pt idx="1">
                  <c:v>6.91078</c:v>
                </c:pt>
                <c:pt idx="2">
                  <c:v>0.36623</c:v>
                </c:pt>
                <c:pt idx="3">
                  <c:v>17.58844</c:v>
                </c:pt>
                <c:pt idx="4">
                  <c:v>1.61064</c:v>
                </c:pt>
                <c:pt idx="5">
                  <c:v>0.60259</c:v>
                </c:pt>
              </c:numCache>
            </c:numRef>
          </c:val>
        </c:ser>
        <c:dLbls>
          <c:showLegendKey val="0"/>
          <c:showVal val="1"/>
          <c:showCatName val="0"/>
          <c:showSerName val="0"/>
          <c:showPercent val="0"/>
          <c:showBubbleSize val="0"/>
        </c:dLbls>
      </c:pie3D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Entry>
      <c:layout>
        <c:manualLayout>
          <c:xMode val="edge"/>
          <c:yMode val="edge"/>
          <c:x val="0.0810590631364562"/>
          <c:y val="0.713412860052371"/>
          <c:w val="0.845213849287169"/>
          <c:h val="0.24003491416933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legend>
    <c:plotVisOnly val="1"/>
    <c:dispBlanksAs val="gap"/>
    <c:showDLblsOverMax val="0"/>
  </c:chart>
  <c:spPr>
    <a:pattFill prst="pct5">
      <a:fgClr>
        <a:schemeClr val="accent1"/>
      </a:fgClr>
      <a:bgClr>
        <a:schemeClr val="bg1"/>
      </a:bgClr>
    </a:pattFill>
    <a:ln w="9525" cap="flat" cmpd="sng" algn="ctr">
      <a:solidFill>
        <a:schemeClr val="tx1">
          <a:lumMod val="15000"/>
          <a:lumOff val="85000"/>
        </a:schemeClr>
      </a:solidFill>
      <a:round/>
    </a:ln>
    <a:effectLst/>
  </c:spPr>
  <c:txPr>
    <a:bodyPr/>
    <a:lstStyle/>
    <a:p>
      <a:pPr>
        <a:defRPr lang="zh-CN">
          <a:latin typeface="黑体" panose="02010609060101010101" charset="-122"/>
          <a:ea typeface="黑体" panose="02010609060101010101" charset="-122"/>
          <a:cs typeface="黑体" panose="02010609060101010101" charset="-122"/>
          <a:sym typeface="黑体" panose="0201060906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2514</Words>
  <Characters>2822</Characters>
  <Lines>0</Lines>
  <Paragraphs>0</Paragraphs>
  <TotalTime>1</TotalTime>
  <ScaleCrop>false</ScaleCrop>
  <LinksUpToDate>false</LinksUpToDate>
  <CharactersWithSpaces>2869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2022-01-21T02:08:00Z</dcterms:created>
  <dc:creator>Administrator</dc:creator>
  <cp:lastModifiedBy>Administrator</cp:lastModifiedBy>
  <cp:lastPrinted>2024-02-04T02:10:48Z</cp:lastPrinted>
  <dcterms:modified xsi:type="dcterms:W3CDTF">2024-02-04T04:30:03Z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DEC30D1C619C48B4A54DDF9DA011CCD4</vt:lpwstr>
  </property>
</Properties>
</file>